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7B" w:rsidRDefault="00210AF6" w:rsidP="00F9140F">
      <w:pPr>
        <w:spacing w:line="360" w:lineRule="auto"/>
        <w:rPr>
          <w:rFonts w:cs="Times New Roman"/>
          <w:b/>
          <w:bCs/>
          <w:sz w:val="22"/>
          <w:szCs w:val="22"/>
        </w:rPr>
      </w:pPr>
      <w:bookmarkStart w:id="0" w:name="_GoBack"/>
      <w:bookmarkEnd w:id="0"/>
      <w:r>
        <w:rPr>
          <w:rFonts w:ascii="Helvetica" w:hAnsi="Helvetica" w:cs="Helvetica"/>
          <w:noProof/>
          <w:lang w:eastAsia="fr-FR"/>
        </w:rPr>
        <w:drawing>
          <wp:inline distT="0" distB="0" distL="0" distR="0">
            <wp:extent cx="2712720" cy="145542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2720" cy="1455420"/>
                    </a:xfrm>
                    <a:prstGeom prst="rect">
                      <a:avLst/>
                    </a:prstGeom>
                    <a:noFill/>
                    <a:ln>
                      <a:noFill/>
                    </a:ln>
                  </pic:spPr>
                </pic:pic>
              </a:graphicData>
            </a:graphic>
          </wp:inline>
        </w:drawing>
      </w:r>
    </w:p>
    <w:p w:rsidR="00BD537B" w:rsidRDefault="00BD537B" w:rsidP="00FF1C12">
      <w:pPr>
        <w:spacing w:line="360" w:lineRule="auto"/>
        <w:jc w:val="center"/>
        <w:rPr>
          <w:rFonts w:cs="Times New Roman"/>
          <w:b/>
          <w:bCs/>
          <w:sz w:val="22"/>
          <w:szCs w:val="22"/>
        </w:rPr>
      </w:pPr>
    </w:p>
    <w:p w:rsidR="00BD537B" w:rsidRPr="004E119C" w:rsidRDefault="00BD537B" w:rsidP="00FF1C12">
      <w:pPr>
        <w:spacing w:line="360" w:lineRule="auto"/>
        <w:jc w:val="center"/>
        <w:rPr>
          <w:b/>
          <w:bCs/>
          <w:sz w:val="22"/>
          <w:szCs w:val="22"/>
        </w:rPr>
      </w:pPr>
      <w:r w:rsidRPr="004E119C">
        <w:rPr>
          <w:b/>
          <w:bCs/>
          <w:sz w:val="22"/>
          <w:szCs w:val="22"/>
        </w:rPr>
        <w:t>Les Régions et la culture : nouveau contexte, nouveaux enjeux »</w:t>
      </w:r>
    </w:p>
    <w:p w:rsidR="00BD537B" w:rsidRPr="004E119C" w:rsidRDefault="00BD537B" w:rsidP="00FF1C12">
      <w:pPr>
        <w:spacing w:line="360" w:lineRule="auto"/>
        <w:jc w:val="center"/>
        <w:rPr>
          <w:b/>
          <w:bCs/>
          <w:sz w:val="22"/>
          <w:szCs w:val="22"/>
        </w:rPr>
      </w:pPr>
      <w:r w:rsidRPr="004E119C">
        <w:rPr>
          <w:b/>
          <w:bCs/>
          <w:sz w:val="22"/>
          <w:szCs w:val="22"/>
        </w:rPr>
        <w:t>ou « Pour une nouvelle donne culturelle »</w:t>
      </w:r>
    </w:p>
    <w:p w:rsidR="00BD537B" w:rsidRPr="004E119C" w:rsidRDefault="00BD537B" w:rsidP="00FF1C12">
      <w:pPr>
        <w:spacing w:line="360" w:lineRule="auto"/>
        <w:jc w:val="center"/>
        <w:rPr>
          <w:b/>
          <w:bCs/>
          <w:sz w:val="22"/>
          <w:szCs w:val="22"/>
        </w:rPr>
      </w:pPr>
      <w:r w:rsidRPr="004E119C">
        <w:rPr>
          <w:b/>
          <w:bCs/>
          <w:sz w:val="22"/>
          <w:szCs w:val="22"/>
        </w:rPr>
        <w:t>juillet 2014</w:t>
      </w:r>
    </w:p>
    <w:p w:rsidR="00BD537B" w:rsidRPr="004E119C" w:rsidRDefault="00BD537B" w:rsidP="0002419F">
      <w:pPr>
        <w:spacing w:line="360" w:lineRule="auto"/>
        <w:jc w:val="both"/>
        <w:rPr>
          <w:rFonts w:cs="Times New Roman"/>
          <w:sz w:val="22"/>
          <w:szCs w:val="22"/>
        </w:rPr>
      </w:pPr>
    </w:p>
    <w:p w:rsidR="00BD537B" w:rsidRPr="004E119C" w:rsidRDefault="00BD537B" w:rsidP="0002419F">
      <w:pPr>
        <w:spacing w:line="360" w:lineRule="auto"/>
        <w:jc w:val="both"/>
        <w:rPr>
          <w:rFonts w:cs="Times New Roman"/>
          <w:sz w:val="22"/>
          <w:szCs w:val="22"/>
        </w:rPr>
      </w:pPr>
      <w:r w:rsidRPr="004E119C">
        <w:rPr>
          <w:sz w:val="22"/>
          <w:szCs w:val="22"/>
        </w:rPr>
        <w:t xml:space="preserve">En matière de politique culturelle, aux côtés des compétences attribuées de manière exclusive  à telle ou telle collectivité, la clause générale de compétence et plus récemment, la  notion de compétence partagée, ont permis aux différents niveaux de collectivité de contribuer à la construction d' « un modèle culturel français », singulier et envié.  Basés sur le seul volontariat des élus locaux, les financements conjoints ont ainsi été à l'origine d'un maillage dense du territoire en équipements culturels, d'une diversité de l'offre, de l'existence d'un secteur artistique structuré.  </w:t>
      </w:r>
      <w:r w:rsidRPr="004E119C">
        <w:rPr>
          <w:b/>
          <w:bCs/>
          <w:sz w:val="22"/>
          <w:szCs w:val="22"/>
        </w:rPr>
        <w:t>Ce qui, hier, a fait leur force, peut demain</w:t>
      </w:r>
      <w:r>
        <w:rPr>
          <w:b/>
          <w:bCs/>
          <w:sz w:val="22"/>
          <w:szCs w:val="22"/>
        </w:rPr>
        <w:t xml:space="preserve"> </w:t>
      </w:r>
      <w:r w:rsidRPr="004E119C">
        <w:rPr>
          <w:b/>
          <w:bCs/>
          <w:sz w:val="22"/>
          <w:szCs w:val="22"/>
        </w:rPr>
        <w:t xml:space="preserve"> faire leur faiblesse</w:t>
      </w:r>
      <w:r w:rsidRPr="004E119C">
        <w:rPr>
          <w:sz w:val="22"/>
          <w:szCs w:val="22"/>
        </w:rPr>
        <w:t>.</w:t>
      </w:r>
    </w:p>
    <w:p w:rsidR="00BD537B" w:rsidRPr="004E119C" w:rsidRDefault="00BD537B" w:rsidP="0002419F">
      <w:pPr>
        <w:spacing w:line="360" w:lineRule="auto"/>
        <w:jc w:val="both"/>
        <w:rPr>
          <w:rFonts w:cs="Times New Roman"/>
          <w:sz w:val="22"/>
          <w:szCs w:val="22"/>
        </w:rPr>
      </w:pPr>
    </w:p>
    <w:p w:rsidR="00BD537B" w:rsidRPr="004E119C" w:rsidRDefault="00BD537B" w:rsidP="0002419F">
      <w:pPr>
        <w:spacing w:line="360" w:lineRule="auto"/>
        <w:jc w:val="both"/>
        <w:rPr>
          <w:rFonts w:cs="Times New Roman"/>
          <w:sz w:val="22"/>
          <w:szCs w:val="22"/>
        </w:rPr>
      </w:pPr>
      <w:r w:rsidRPr="004E119C">
        <w:rPr>
          <w:sz w:val="22"/>
          <w:szCs w:val="22"/>
        </w:rPr>
        <w:t xml:space="preserve">Ce modèle doit aujourd'hui être réinterrogé. La réforme territoriale en cours et la crise durable des finances publiques appellent </w:t>
      </w:r>
      <w:r w:rsidRPr="004E119C">
        <w:rPr>
          <w:b/>
          <w:bCs/>
          <w:sz w:val="22"/>
          <w:szCs w:val="22"/>
        </w:rPr>
        <w:t xml:space="preserve">une approche nouvelle dans l'organisation et la gouvernance de l'action publique et plaident en faveur d’une nouvelle clarification et répartition des compétences dans le champ des politiques culturelles. Afin de préserver l’action culturelle </w:t>
      </w:r>
      <w:r>
        <w:rPr>
          <w:b/>
          <w:bCs/>
          <w:sz w:val="22"/>
          <w:szCs w:val="22"/>
        </w:rPr>
        <w:t xml:space="preserve">et la présence artistique </w:t>
      </w:r>
      <w:r w:rsidRPr="004E119C">
        <w:rPr>
          <w:b/>
          <w:bCs/>
          <w:sz w:val="22"/>
          <w:szCs w:val="22"/>
        </w:rPr>
        <w:t xml:space="preserve">sur les territoires, il faudrait </w:t>
      </w:r>
      <w:r>
        <w:rPr>
          <w:b/>
          <w:bCs/>
          <w:sz w:val="22"/>
          <w:szCs w:val="22"/>
        </w:rPr>
        <w:t xml:space="preserve">rendre obligatoire l’exercice de la </w:t>
      </w:r>
      <w:r w:rsidRPr="004E119C">
        <w:rPr>
          <w:b/>
          <w:bCs/>
          <w:sz w:val="22"/>
          <w:szCs w:val="22"/>
        </w:rPr>
        <w:t>c</w:t>
      </w:r>
      <w:r>
        <w:rPr>
          <w:b/>
          <w:bCs/>
          <w:sz w:val="22"/>
          <w:szCs w:val="22"/>
        </w:rPr>
        <w:t>ompétence culturelle</w:t>
      </w:r>
      <w:r w:rsidRPr="004E119C">
        <w:rPr>
          <w:b/>
          <w:bCs/>
          <w:sz w:val="22"/>
          <w:szCs w:val="22"/>
        </w:rPr>
        <w:t>.</w:t>
      </w:r>
    </w:p>
    <w:p w:rsidR="00BD537B" w:rsidRPr="004E119C" w:rsidRDefault="00BD537B" w:rsidP="0002419F">
      <w:pPr>
        <w:spacing w:line="360" w:lineRule="auto"/>
        <w:jc w:val="both"/>
        <w:rPr>
          <w:rFonts w:cs="Times New Roman"/>
          <w:sz w:val="22"/>
          <w:szCs w:val="22"/>
        </w:rPr>
      </w:pPr>
    </w:p>
    <w:p w:rsidR="00BD537B" w:rsidRPr="004E119C" w:rsidRDefault="00BD537B" w:rsidP="0002419F">
      <w:pPr>
        <w:spacing w:line="360" w:lineRule="auto"/>
        <w:jc w:val="both"/>
        <w:rPr>
          <w:rFonts w:cs="Times New Roman"/>
          <w:sz w:val="22"/>
          <w:szCs w:val="22"/>
        </w:rPr>
      </w:pPr>
      <w:r w:rsidRPr="004E119C">
        <w:rPr>
          <w:sz w:val="22"/>
          <w:szCs w:val="22"/>
        </w:rPr>
        <w:t xml:space="preserve">En effet, la disparition programmée des </w:t>
      </w:r>
      <w:r>
        <w:rPr>
          <w:sz w:val="22"/>
          <w:szCs w:val="22"/>
        </w:rPr>
        <w:t>conseils dé</w:t>
      </w:r>
      <w:r w:rsidRPr="004E119C">
        <w:rPr>
          <w:sz w:val="22"/>
          <w:szCs w:val="22"/>
        </w:rPr>
        <w:t>partement</w:t>
      </w:r>
      <w:r>
        <w:rPr>
          <w:sz w:val="22"/>
          <w:szCs w:val="22"/>
        </w:rPr>
        <w:t xml:space="preserve">aux, </w:t>
      </w:r>
      <w:r w:rsidRPr="004E119C">
        <w:rPr>
          <w:sz w:val="22"/>
          <w:szCs w:val="22"/>
        </w:rPr>
        <w:t>le déséquilibre grandissant entre métropoles</w:t>
      </w:r>
      <w:r>
        <w:rPr>
          <w:sz w:val="22"/>
          <w:szCs w:val="22"/>
        </w:rPr>
        <w:t>, espaces urbains</w:t>
      </w:r>
      <w:r w:rsidRPr="004E119C">
        <w:rPr>
          <w:sz w:val="22"/>
          <w:szCs w:val="22"/>
        </w:rPr>
        <w:t xml:space="preserve"> et espaces ruraux,  la baisse drastique des dotations de l’État aux collectivités territoriales et l'inertie fiscale de ces dernières, la fragilité croissante du statut des artistes, sont autant de signaux d'alarme. La vitalité artistique, le dynamisme culturel, l'existence même de nombreuses structures  sont menacés. Ce contexte appelle un changement radical du paradigme établi : la compétence partagée, c'est à dire la possibilité pour chacun d'agir, ou plutôt de ne  pas agir, a vécu ! L'heure est venue de donner à chaque niveau de collectivité sa responsabilité en matière culturelle. Deux cadres doivent en permettre la formalisation : le projet de loi portant nouvelle organisation territoriale de la République et le </w:t>
      </w:r>
      <w:r w:rsidRPr="004E119C">
        <w:rPr>
          <w:sz w:val="22"/>
          <w:szCs w:val="22"/>
        </w:rPr>
        <w:lastRenderedPageBreak/>
        <w:t>projet de loi sur la création artistique. L’ARF proposera des amendements à ces textes lors des débats parlementaires.</w:t>
      </w:r>
    </w:p>
    <w:p w:rsidR="00BD537B" w:rsidRPr="004E119C" w:rsidRDefault="00BD537B" w:rsidP="0002419F">
      <w:pPr>
        <w:spacing w:line="360" w:lineRule="auto"/>
        <w:jc w:val="both"/>
        <w:rPr>
          <w:rFonts w:cs="Times New Roman"/>
          <w:sz w:val="22"/>
          <w:szCs w:val="22"/>
        </w:rPr>
      </w:pPr>
    </w:p>
    <w:p w:rsidR="00BD537B" w:rsidRPr="004E119C" w:rsidRDefault="00BD537B" w:rsidP="00361161">
      <w:pPr>
        <w:spacing w:line="360" w:lineRule="auto"/>
        <w:jc w:val="both"/>
        <w:rPr>
          <w:rFonts w:cs="Times New Roman"/>
          <w:sz w:val="22"/>
          <w:szCs w:val="22"/>
        </w:rPr>
      </w:pPr>
      <w:r w:rsidRPr="004E119C">
        <w:rPr>
          <w:sz w:val="22"/>
          <w:szCs w:val="22"/>
        </w:rPr>
        <w:t>L'intervention publique dans les années à venir  reposera sur le triptyque : Etat/Régions/Bloc communal. L’État devra se recentrer sur ses missions de stratège</w:t>
      </w:r>
      <w:r>
        <w:rPr>
          <w:sz w:val="22"/>
          <w:szCs w:val="22"/>
        </w:rPr>
        <w:t xml:space="preserve"> et </w:t>
      </w:r>
      <w:r w:rsidRPr="004E119C">
        <w:rPr>
          <w:sz w:val="22"/>
          <w:szCs w:val="22"/>
        </w:rPr>
        <w:t xml:space="preserve"> </w:t>
      </w:r>
      <w:r>
        <w:rPr>
          <w:sz w:val="22"/>
          <w:szCs w:val="22"/>
        </w:rPr>
        <w:t>de  garant de la légalité</w:t>
      </w:r>
      <w:r w:rsidRPr="004E119C">
        <w:rPr>
          <w:sz w:val="22"/>
          <w:szCs w:val="22"/>
        </w:rPr>
        <w:t>.  La Région a vocation à se positionner sur la structuration du secteur et l'aménagement culturel du territoire. Les établissements publics de coopé</w:t>
      </w:r>
      <w:r>
        <w:rPr>
          <w:sz w:val="22"/>
          <w:szCs w:val="22"/>
        </w:rPr>
        <w:t>ration intercommunale, aux côt</w:t>
      </w:r>
      <w:r w:rsidRPr="004E119C">
        <w:rPr>
          <w:sz w:val="22"/>
          <w:szCs w:val="22"/>
        </w:rPr>
        <w:t>és   des communes</w:t>
      </w:r>
      <w:r>
        <w:rPr>
          <w:sz w:val="22"/>
          <w:szCs w:val="22"/>
        </w:rPr>
        <w:t xml:space="preserve">, sont appelés à gérer les </w:t>
      </w:r>
      <w:r w:rsidRPr="004E119C">
        <w:rPr>
          <w:sz w:val="22"/>
          <w:szCs w:val="22"/>
        </w:rPr>
        <w:t>structures culturelles et les services de proximité et à accompagner les initiatives citoyennes. Une nouvelle gouvernance des politiques culturelles devra être impulsée au niveau régional dans le cadre d'une instance de coopération regroupant les niveaux de collectivités concernés (CTAP ou conférence culturelle  régionale). S’y élaboreront les schémas culturels,  les stratégies culturelles régionales…</w:t>
      </w:r>
    </w:p>
    <w:p w:rsidR="00BD537B" w:rsidRPr="004E119C" w:rsidRDefault="00BD537B" w:rsidP="0002419F">
      <w:pPr>
        <w:spacing w:line="360" w:lineRule="auto"/>
        <w:jc w:val="both"/>
        <w:rPr>
          <w:rFonts w:cs="Times New Roman"/>
          <w:sz w:val="22"/>
          <w:szCs w:val="22"/>
        </w:rPr>
      </w:pPr>
    </w:p>
    <w:p w:rsidR="00BD537B" w:rsidRPr="004E119C" w:rsidRDefault="00BD537B" w:rsidP="0002419F">
      <w:pPr>
        <w:spacing w:line="360" w:lineRule="auto"/>
        <w:jc w:val="both"/>
        <w:rPr>
          <w:b/>
          <w:bCs/>
          <w:sz w:val="22"/>
          <w:szCs w:val="22"/>
        </w:rPr>
      </w:pPr>
      <w:r w:rsidRPr="004E119C">
        <w:rPr>
          <w:b/>
          <w:bCs/>
          <w:sz w:val="22"/>
          <w:szCs w:val="22"/>
        </w:rPr>
        <w:t xml:space="preserve">1. Les nouvelles compétences des Régions : </w:t>
      </w:r>
    </w:p>
    <w:p w:rsidR="00BD537B" w:rsidRPr="004E119C" w:rsidRDefault="00BD537B" w:rsidP="00333F47">
      <w:pPr>
        <w:spacing w:line="360" w:lineRule="auto"/>
        <w:jc w:val="both"/>
        <w:rPr>
          <w:rFonts w:cs="Times New Roman"/>
          <w:sz w:val="22"/>
          <w:szCs w:val="22"/>
        </w:rPr>
      </w:pPr>
    </w:p>
    <w:p w:rsidR="00BD537B" w:rsidRPr="004E119C" w:rsidRDefault="00BD537B" w:rsidP="00333F47">
      <w:pPr>
        <w:spacing w:line="360" w:lineRule="auto"/>
        <w:jc w:val="both"/>
        <w:rPr>
          <w:sz w:val="22"/>
          <w:szCs w:val="22"/>
        </w:rPr>
      </w:pPr>
      <w:r w:rsidRPr="004E119C">
        <w:rPr>
          <w:sz w:val="22"/>
          <w:szCs w:val="22"/>
        </w:rPr>
        <w:t xml:space="preserve">A travers leur compétence obligatoire en matière d’Inventaire </w:t>
      </w:r>
      <w:r>
        <w:rPr>
          <w:sz w:val="22"/>
          <w:szCs w:val="22"/>
        </w:rPr>
        <w:t>du</w:t>
      </w:r>
      <w:r w:rsidRPr="004E119C">
        <w:rPr>
          <w:sz w:val="22"/>
          <w:szCs w:val="22"/>
        </w:rPr>
        <w:t xml:space="preserve"> Patrimoine et toutes  leurs actions facultatives, les Régions ont acquis une véritable légitimité </w:t>
      </w:r>
      <w:r>
        <w:rPr>
          <w:sz w:val="22"/>
          <w:szCs w:val="22"/>
        </w:rPr>
        <w:t>sur l’ensembl</w:t>
      </w:r>
      <w:r w:rsidRPr="004E119C">
        <w:rPr>
          <w:sz w:val="22"/>
          <w:szCs w:val="22"/>
        </w:rPr>
        <w:t>e</w:t>
      </w:r>
      <w:r>
        <w:rPr>
          <w:sz w:val="22"/>
          <w:szCs w:val="22"/>
        </w:rPr>
        <w:t xml:space="preserve"> du champ culturel. Outre le Patrimoine, cette légitimité s’étend à </w:t>
      </w:r>
      <w:r w:rsidRPr="004E119C">
        <w:rPr>
          <w:sz w:val="22"/>
          <w:szCs w:val="22"/>
        </w:rPr>
        <w:t>la création artistique au sens large,</w:t>
      </w:r>
      <w:r>
        <w:rPr>
          <w:sz w:val="22"/>
          <w:szCs w:val="22"/>
        </w:rPr>
        <w:t xml:space="preserve"> à</w:t>
      </w:r>
      <w:r w:rsidRPr="004E119C">
        <w:rPr>
          <w:sz w:val="22"/>
          <w:szCs w:val="22"/>
        </w:rPr>
        <w:t xml:space="preserve"> la diffusion au niveau des équi</w:t>
      </w:r>
      <w:r>
        <w:rPr>
          <w:sz w:val="22"/>
          <w:szCs w:val="22"/>
        </w:rPr>
        <w:t>pements d’envergure régionale, aux</w:t>
      </w:r>
      <w:r w:rsidRPr="004E119C">
        <w:rPr>
          <w:sz w:val="22"/>
          <w:szCs w:val="22"/>
        </w:rPr>
        <w:t xml:space="preserve"> festivals, </w:t>
      </w:r>
      <w:r>
        <w:rPr>
          <w:sz w:val="22"/>
          <w:szCs w:val="22"/>
        </w:rPr>
        <w:t xml:space="preserve">à </w:t>
      </w:r>
      <w:r w:rsidRPr="004E119C">
        <w:rPr>
          <w:sz w:val="22"/>
          <w:szCs w:val="22"/>
        </w:rPr>
        <w:t>l’éducation artistique et culturelle </w:t>
      </w:r>
      <w:r>
        <w:rPr>
          <w:sz w:val="22"/>
          <w:szCs w:val="22"/>
        </w:rPr>
        <w:t xml:space="preserve"> et aux </w:t>
      </w:r>
      <w:r w:rsidRPr="004E119C">
        <w:rPr>
          <w:sz w:val="22"/>
          <w:szCs w:val="22"/>
        </w:rPr>
        <w:t xml:space="preserve">les industries culturelles et créatives (cinéma, audiovisuel, jeu vidéo, </w:t>
      </w:r>
      <w:r>
        <w:rPr>
          <w:sz w:val="22"/>
          <w:szCs w:val="22"/>
        </w:rPr>
        <w:t xml:space="preserve">produits </w:t>
      </w:r>
      <w:r w:rsidRPr="004E119C">
        <w:rPr>
          <w:sz w:val="22"/>
          <w:szCs w:val="22"/>
        </w:rPr>
        <w:t>numérique</w:t>
      </w:r>
      <w:r>
        <w:rPr>
          <w:sz w:val="22"/>
          <w:szCs w:val="22"/>
        </w:rPr>
        <w:t>s</w:t>
      </w:r>
      <w:r w:rsidRPr="004E119C">
        <w:rPr>
          <w:sz w:val="22"/>
          <w:szCs w:val="22"/>
        </w:rPr>
        <w:t xml:space="preserve">, livre, musique enregistrée). </w:t>
      </w:r>
    </w:p>
    <w:p w:rsidR="00BD537B" w:rsidRDefault="00BD537B" w:rsidP="0002419F">
      <w:pPr>
        <w:spacing w:line="360" w:lineRule="auto"/>
        <w:jc w:val="both"/>
        <w:rPr>
          <w:rFonts w:cs="Times New Roman"/>
          <w:sz w:val="22"/>
          <w:szCs w:val="22"/>
        </w:rPr>
      </w:pPr>
    </w:p>
    <w:p w:rsidR="00BD537B" w:rsidRDefault="00BD537B" w:rsidP="0002419F">
      <w:pPr>
        <w:spacing w:line="360" w:lineRule="auto"/>
        <w:jc w:val="both"/>
        <w:rPr>
          <w:rFonts w:cs="Times New Roman"/>
          <w:sz w:val="22"/>
          <w:szCs w:val="22"/>
        </w:rPr>
      </w:pPr>
      <w:r w:rsidRPr="004E119C">
        <w:rPr>
          <w:sz w:val="22"/>
          <w:szCs w:val="22"/>
        </w:rPr>
        <w:t xml:space="preserve">Il s’agit de compléter les compétences culturelles actuelles et de les articuler aux autres  compétences régionales affirmées (formation, lycées, enseignement supérieur, </w:t>
      </w:r>
      <w:r>
        <w:rPr>
          <w:sz w:val="22"/>
          <w:szCs w:val="22"/>
        </w:rPr>
        <w:t>recherche, culture scientifique,</w:t>
      </w:r>
      <w:r w:rsidRPr="004E119C">
        <w:rPr>
          <w:sz w:val="22"/>
          <w:szCs w:val="22"/>
        </w:rPr>
        <w:t xml:space="preserve"> jeunesse,  tourisme,  développement économique, aménagement du territoire</w:t>
      </w:r>
      <w:r>
        <w:rPr>
          <w:sz w:val="22"/>
          <w:szCs w:val="22"/>
        </w:rPr>
        <w:t>,</w:t>
      </w:r>
      <w:r w:rsidRPr="004E119C">
        <w:rPr>
          <w:sz w:val="22"/>
          <w:szCs w:val="22"/>
        </w:rPr>
        <w:t xml:space="preserve"> gestion des fonds européens ou encore relations internationales</w:t>
      </w:r>
      <w:r>
        <w:rPr>
          <w:sz w:val="22"/>
          <w:szCs w:val="22"/>
        </w:rPr>
        <w:t>…</w:t>
      </w:r>
      <w:r w:rsidRPr="004E119C">
        <w:rPr>
          <w:sz w:val="22"/>
          <w:szCs w:val="22"/>
        </w:rPr>
        <w:t>) ou à venir (collèges,).</w:t>
      </w:r>
    </w:p>
    <w:p w:rsidR="00BD537B" w:rsidRPr="004E119C" w:rsidRDefault="00BD537B" w:rsidP="0002419F">
      <w:pPr>
        <w:spacing w:line="360" w:lineRule="auto"/>
        <w:jc w:val="both"/>
        <w:rPr>
          <w:rFonts w:cs="Times New Roman"/>
          <w:sz w:val="22"/>
          <w:szCs w:val="22"/>
        </w:rPr>
      </w:pPr>
    </w:p>
    <w:p w:rsidR="00BD537B" w:rsidRPr="004E119C" w:rsidRDefault="00BD537B" w:rsidP="0002419F">
      <w:pPr>
        <w:spacing w:line="360" w:lineRule="auto"/>
        <w:jc w:val="both"/>
        <w:rPr>
          <w:rFonts w:cs="Times New Roman"/>
          <w:sz w:val="22"/>
          <w:szCs w:val="22"/>
        </w:rPr>
      </w:pPr>
      <w:r w:rsidRPr="004E119C">
        <w:rPr>
          <w:sz w:val="22"/>
          <w:szCs w:val="22"/>
        </w:rPr>
        <w:t xml:space="preserve">Il faut aller plus loin.  </w:t>
      </w:r>
      <w:r w:rsidRPr="004E119C">
        <w:rPr>
          <w:b/>
          <w:bCs/>
          <w:sz w:val="22"/>
          <w:szCs w:val="22"/>
        </w:rPr>
        <w:t>Les Régions revendiquent donc une compétence obligatoire</w:t>
      </w:r>
      <w:r>
        <w:rPr>
          <w:b/>
          <w:bCs/>
          <w:sz w:val="22"/>
          <w:szCs w:val="22"/>
        </w:rPr>
        <w:t xml:space="preserve"> partagée</w:t>
      </w:r>
      <w:r w:rsidRPr="004E119C">
        <w:rPr>
          <w:b/>
          <w:bCs/>
          <w:sz w:val="22"/>
          <w:szCs w:val="22"/>
        </w:rPr>
        <w:t xml:space="preserve"> sur l’ensemble d</w:t>
      </w:r>
      <w:r>
        <w:rPr>
          <w:b/>
          <w:bCs/>
          <w:sz w:val="22"/>
          <w:szCs w:val="22"/>
        </w:rPr>
        <w:t>u champ culturel</w:t>
      </w:r>
      <w:r w:rsidRPr="004E119C">
        <w:rPr>
          <w:b/>
          <w:bCs/>
          <w:sz w:val="22"/>
          <w:szCs w:val="22"/>
        </w:rPr>
        <w:t>. Elles souhaitent également  une compétence exclusive sur les indu</w:t>
      </w:r>
      <w:r>
        <w:rPr>
          <w:b/>
          <w:bCs/>
          <w:sz w:val="22"/>
          <w:szCs w:val="22"/>
        </w:rPr>
        <w:t xml:space="preserve">stries culturelles et créatives en cohérence </w:t>
      </w:r>
      <w:r w:rsidRPr="004E119C">
        <w:rPr>
          <w:b/>
          <w:bCs/>
          <w:sz w:val="22"/>
          <w:szCs w:val="22"/>
        </w:rPr>
        <w:t xml:space="preserve"> </w:t>
      </w:r>
      <w:r>
        <w:rPr>
          <w:b/>
          <w:bCs/>
          <w:sz w:val="22"/>
          <w:szCs w:val="22"/>
        </w:rPr>
        <w:t>avec leurs compétences en matière de développement économique. Cela leur permettrait d’agir sur la création.</w:t>
      </w:r>
    </w:p>
    <w:p w:rsidR="00BD537B" w:rsidRPr="004E119C" w:rsidRDefault="00BD537B" w:rsidP="0002419F">
      <w:pPr>
        <w:spacing w:line="360" w:lineRule="auto"/>
        <w:jc w:val="both"/>
        <w:rPr>
          <w:rFonts w:cs="Times New Roman"/>
          <w:sz w:val="22"/>
          <w:szCs w:val="22"/>
        </w:rPr>
      </w:pPr>
    </w:p>
    <w:p w:rsidR="00BD537B" w:rsidRPr="004E119C" w:rsidRDefault="00BD537B" w:rsidP="0002419F">
      <w:pPr>
        <w:spacing w:line="360" w:lineRule="auto"/>
        <w:jc w:val="both"/>
        <w:rPr>
          <w:sz w:val="22"/>
          <w:szCs w:val="22"/>
        </w:rPr>
      </w:pPr>
      <w:r w:rsidRPr="004E119C">
        <w:rPr>
          <w:sz w:val="22"/>
          <w:szCs w:val="22"/>
        </w:rPr>
        <w:t xml:space="preserve">Les Régions, sans exercer de tutelle sur les communes et leurs groupements, pourraient être désignées comme </w:t>
      </w:r>
      <w:r w:rsidRPr="004E119C">
        <w:rPr>
          <w:b/>
          <w:bCs/>
          <w:sz w:val="22"/>
          <w:szCs w:val="22"/>
        </w:rPr>
        <w:t>organisatrices de la définition d’une stratégie culturelle régionale</w:t>
      </w:r>
      <w:r w:rsidRPr="004E119C">
        <w:rPr>
          <w:sz w:val="22"/>
          <w:szCs w:val="22"/>
        </w:rPr>
        <w:t>, et animer au sein des CTAP le dialogue avec l’Etat et les collectivités locales afin d’élaborer des « contrats de développement culturel » à l’échelle des intercommunalités, l’objectif étant de garantir un aménagement culturel équilibré du territoire, et de combler les écarts entre les métropoles et les territoires périphériques et ruraux.</w:t>
      </w:r>
    </w:p>
    <w:p w:rsidR="00BD537B" w:rsidRPr="004E119C" w:rsidRDefault="00BD537B" w:rsidP="0002419F">
      <w:pPr>
        <w:spacing w:line="360" w:lineRule="auto"/>
        <w:jc w:val="both"/>
        <w:rPr>
          <w:sz w:val="22"/>
          <w:szCs w:val="22"/>
        </w:rPr>
      </w:pPr>
    </w:p>
    <w:p w:rsidR="00BD537B" w:rsidRPr="004E119C" w:rsidRDefault="00BD537B" w:rsidP="0002419F">
      <w:pPr>
        <w:spacing w:line="360" w:lineRule="auto"/>
        <w:jc w:val="both"/>
        <w:rPr>
          <w:b/>
          <w:bCs/>
          <w:sz w:val="22"/>
          <w:szCs w:val="22"/>
        </w:rPr>
      </w:pPr>
      <w:r w:rsidRPr="004E119C">
        <w:rPr>
          <w:b/>
          <w:bCs/>
          <w:sz w:val="22"/>
          <w:szCs w:val="22"/>
        </w:rPr>
        <w:t>2. Le transfert des compétences départementales</w:t>
      </w:r>
      <w:r>
        <w:rPr>
          <w:b/>
          <w:bCs/>
          <w:sz w:val="22"/>
          <w:szCs w:val="22"/>
        </w:rPr>
        <w:t xml:space="preserve"> </w:t>
      </w:r>
      <w:r w:rsidRPr="004E119C">
        <w:rPr>
          <w:b/>
          <w:bCs/>
          <w:sz w:val="22"/>
          <w:szCs w:val="22"/>
        </w:rPr>
        <w:t>:</w:t>
      </w:r>
    </w:p>
    <w:p w:rsidR="00BD537B" w:rsidRPr="004E119C" w:rsidRDefault="00BD537B" w:rsidP="0002419F">
      <w:pPr>
        <w:spacing w:line="360" w:lineRule="auto"/>
        <w:jc w:val="both"/>
        <w:rPr>
          <w:rFonts w:cs="Times New Roman"/>
          <w:sz w:val="22"/>
          <w:szCs w:val="22"/>
        </w:rPr>
      </w:pPr>
    </w:p>
    <w:p w:rsidR="00BD537B" w:rsidRPr="004E119C" w:rsidRDefault="00BD537B" w:rsidP="0002419F">
      <w:pPr>
        <w:spacing w:line="360" w:lineRule="auto"/>
        <w:jc w:val="both"/>
        <w:rPr>
          <w:sz w:val="22"/>
          <w:szCs w:val="22"/>
        </w:rPr>
      </w:pPr>
      <w:r w:rsidRPr="004E119C">
        <w:rPr>
          <w:sz w:val="22"/>
          <w:szCs w:val="22"/>
        </w:rPr>
        <w:t>L</w:t>
      </w:r>
      <w:r>
        <w:rPr>
          <w:sz w:val="22"/>
          <w:szCs w:val="22"/>
        </w:rPr>
        <w:t>’effacement</w:t>
      </w:r>
      <w:r w:rsidRPr="004E119C">
        <w:rPr>
          <w:sz w:val="22"/>
          <w:szCs w:val="22"/>
        </w:rPr>
        <w:t xml:space="preserve"> des </w:t>
      </w:r>
      <w:r>
        <w:rPr>
          <w:sz w:val="22"/>
          <w:szCs w:val="22"/>
        </w:rPr>
        <w:t>conseils d</w:t>
      </w:r>
      <w:r w:rsidRPr="004E119C">
        <w:rPr>
          <w:sz w:val="22"/>
          <w:szCs w:val="22"/>
        </w:rPr>
        <w:t>épartement</w:t>
      </w:r>
      <w:r>
        <w:rPr>
          <w:sz w:val="22"/>
          <w:szCs w:val="22"/>
        </w:rPr>
        <w:t xml:space="preserve">aux </w:t>
      </w:r>
      <w:r w:rsidRPr="004E119C">
        <w:rPr>
          <w:sz w:val="22"/>
          <w:szCs w:val="22"/>
        </w:rPr>
        <w:t>s’accompagnera d’un transfert de leurs compétences aux autres collectivités et/ou à l’Etat. Depuis la loi de 2004, les Départements exercent plusieurs compétences obligatoires en matière de culture et de patrimoine (les archives départementales, les bibliothèques départementales de prêt, les schémas départementaux d’enseignements artistiques), mais ils ont également développé un grand nombre de projets et sont même propriétaires de musées ou de sites patrimoniaux remarquables</w:t>
      </w:r>
    </w:p>
    <w:p w:rsidR="00BD537B" w:rsidRPr="004E119C" w:rsidRDefault="00BD537B" w:rsidP="0002419F">
      <w:pPr>
        <w:spacing w:line="360" w:lineRule="auto"/>
        <w:jc w:val="both"/>
        <w:rPr>
          <w:sz w:val="22"/>
          <w:szCs w:val="22"/>
        </w:rPr>
      </w:pPr>
      <w:r w:rsidRPr="004E119C">
        <w:rPr>
          <w:sz w:val="22"/>
          <w:szCs w:val="22"/>
        </w:rPr>
        <w:t xml:space="preserve"> </w:t>
      </w:r>
    </w:p>
    <w:p w:rsidR="00BD537B" w:rsidRPr="004E119C" w:rsidRDefault="00BD537B" w:rsidP="0002419F">
      <w:pPr>
        <w:spacing w:line="360" w:lineRule="auto"/>
        <w:jc w:val="both"/>
        <w:rPr>
          <w:rFonts w:cs="Times New Roman"/>
          <w:sz w:val="22"/>
          <w:szCs w:val="22"/>
        </w:rPr>
      </w:pPr>
      <w:r>
        <w:rPr>
          <w:b/>
          <w:bCs/>
          <w:sz w:val="22"/>
          <w:szCs w:val="22"/>
        </w:rPr>
        <w:t>N</w:t>
      </w:r>
      <w:r w:rsidRPr="004E119C">
        <w:rPr>
          <w:b/>
          <w:bCs/>
          <w:sz w:val="22"/>
          <w:szCs w:val="22"/>
        </w:rPr>
        <w:t xml:space="preserve">ous proposons que ces compétences culturelles  soient transférées selon la situation des territoires soit au bloc communal soit aux Régions, avec les crédits et personnels afférents.  </w:t>
      </w:r>
    </w:p>
    <w:p w:rsidR="00BD537B" w:rsidRDefault="00BD537B" w:rsidP="0002419F">
      <w:pPr>
        <w:spacing w:line="360" w:lineRule="auto"/>
        <w:jc w:val="both"/>
        <w:rPr>
          <w:rFonts w:cs="Times New Roman"/>
          <w:sz w:val="22"/>
          <w:szCs w:val="22"/>
        </w:rPr>
      </w:pPr>
    </w:p>
    <w:p w:rsidR="00BD537B" w:rsidRPr="004E119C" w:rsidRDefault="00BD537B" w:rsidP="0002419F">
      <w:pPr>
        <w:spacing w:line="360" w:lineRule="auto"/>
        <w:jc w:val="both"/>
        <w:rPr>
          <w:sz w:val="22"/>
          <w:szCs w:val="22"/>
        </w:rPr>
      </w:pPr>
      <w:r w:rsidRPr="004E119C">
        <w:rPr>
          <w:sz w:val="22"/>
          <w:szCs w:val="22"/>
        </w:rPr>
        <w:t>La  répartition</w:t>
      </w:r>
      <w:r>
        <w:rPr>
          <w:sz w:val="22"/>
          <w:szCs w:val="22"/>
        </w:rPr>
        <w:t xml:space="preserve"> </w:t>
      </w:r>
      <w:r w:rsidRPr="004E119C">
        <w:rPr>
          <w:sz w:val="22"/>
          <w:szCs w:val="22"/>
        </w:rPr>
        <w:t xml:space="preserve">entre les différentes collectivités publiques se ferait dans le cadre des CTAP : après le transfert des compétences des Départements vers les Régions, ces mêmes compétences pourraient être déléguées en partie à certaines intercommunalités ou Métropoles, comme le prévoit le projet de loi MAPAM. </w:t>
      </w:r>
    </w:p>
    <w:p w:rsidR="00BD537B" w:rsidRPr="004E119C" w:rsidRDefault="00BD537B" w:rsidP="0002419F">
      <w:pPr>
        <w:spacing w:line="360" w:lineRule="auto"/>
        <w:jc w:val="both"/>
        <w:rPr>
          <w:sz w:val="22"/>
          <w:szCs w:val="22"/>
        </w:rPr>
      </w:pPr>
    </w:p>
    <w:p w:rsidR="00BD537B" w:rsidRPr="004E119C" w:rsidRDefault="00BD537B" w:rsidP="0002419F">
      <w:pPr>
        <w:spacing w:line="360" w:lineRule="auto"/>
        <w:jc w:val="both"/>
        <w:rPr>
          <w:sz w:val="22"/>
          <w:szCs w:val="22"/>
        </w:rPr>
      </w:pPr>
      <w:r>
        <w:rPr>
          <w:sz w:val="22"/>
          <w:szCs w:val="22"/>
        </w:rPr>
        <w:t xml:space="preserve">Mais la disparition progressive </w:t>
      </w:r>
      <w:r w:rsidRPr="004E119C">
        <w:rPr>
          <w:sz w:val="22"/>
          <w:szCs w:val="22"/>
        </w:rPr>
        <w:t xml:space="preserve"> des </w:t>
      </w:r>
      <w:r>
        <w:rPr>
          <w:sz w:val="22"/>
          <w:szCs w:val="22"/>
        </w:rPr>
        <w:t xml:space="preserve"> conseils départementaux</w:t>
      </w:r>
      <w:r w:rsidRPr="004E119C">
        <w:rPr>
          <w:sz w:val="22"/>
          <w:szCs w:val="22"/>
        </w:rPr>
        <w:t xml:space="preserve"> se traduira aussi par l’évaporation de plusieurs centaines de millions d’euros investis jusqu’alors, au titre de la compétence générale, dans la création</w:t>
      </w:r>
      <w:r>
        <w:rPr>
          <w:sz w:val="22"/>
          <w:szCs w:val="22"/>
        </w:rPr>
        <w:t xml:space="preserve">, </w:t>
      </w:r>
      <w:r w:rsidRPr="004E119C">
        <w:rPr>
          <w:sz w:val="22"/>
          <w:szCs w:val="22"/>
        </w:rPr>
        <w:t>la diffusion artistique</w:t>
      </w:r>
      <w:r>
        <w:rPr>
          <w:sz w:val="22"/>
          <w:szCs w:val="22"/>
        </w:rPr>
        <w:t xml:space="preserve"> et la sauvegarde du patrimoine</w:t>
      </w:r>
      <w:r w:rsidRPr="004E119C">
        <w:rPr>
          <w:sz w:val="22"/>
          <w:szCs w:val="22"/>
        </w:rPr>
        <w:t>. Pour y remédier : de nouveaux leviers fiscaux pour les Régions.</w:t>
      </w:r>
    </w:p>
    <w:p w:rsidR="00BD537B" w:rsidRPr="004E119C" w:rsidRDefault="00BD537B" w:rsidP="0002419F">
      <w:pPr>
        <w:spacing w:line="360" w:lineRule="auto"/>
        <w:jc w:val="both"/>
        <w:rPr>
          <w:sz w:val="22"/>
          <w:szCs w:val="22"/>
        </w:rPr>
      </w:pPr>
    </w:p>
    <w:p w:rsidR="00BD537B" w:rsidRPr="004E119C" w:rsidRDefault="00BD537B" w:rsidP="0002419F">
      <w:pPr>
        <w:spacing w:line="360" w:lineRule="auto"/>
        <w:jc w:val="both"/>
        <w:rPr>
          <w:rFonts w:cs="Times New Roman"/>
          <w:b/>
          <w:bCs/>
          <w:sz w:val="22"/>
          <w:szCs w:val="22"/>
        </w:rPr>
      </w:pPr>
      <w:r>
        <w:rPr>
          <w:b/>
          <w:bCs/>
          <w:sz w:val="22"/>
          <w:szCs w:val="22"/>
        </w:rPr>
        <w:t>3. Vers une nouvelle étape de la décentralisation</w:t>
      </w:r>
    </w:p>
    <w:p w:rsidR="00BD537B" w:rsidRPr="004E119C" w:rsidRDefault="00BD537B" w:rsidP="0009772F">
      <w:pPr>
        <w:spacing w:line="360" w:lineRule="auto"/>
        <w:jc w:val="both"/>
        <w:rPr>
          <w:rFonts w:cs="Times New Roman"/>
          <w:sz w:val="22"/>
          <w:szCs w:val="22"/>
        </w:rPr>
      </w:pPr>
    </w:p>
    <w:p w:rsidR="00BD537B" w:rsidRPr="004E119C" w:rsidRDefault="00BD537B" w:rsidP="0009772F">
      <w:pPr>
        <w:spacing w:line="360" w:lineRule="auto"/>
        <w:jc w:val="both"/>
        <w:rPr>
          <w:sz w:val="22"/>
          <w:szCs w:val="22"/>
        </w:rPr>
      </w:pPr>
      <w:r w:rsidRPr="004E119C">
        <w:rPr>
          <w:sz w:val="22"/>
          <w:szCs w:val="22"/>
        </w:rPr>
        <w:t xml:space="preserve">S’il est important de conserver une administration culturelle déconcentrée en régions, le périmètre actuel des DRAC a vécu et n’est plus opérant.  </w:t>
      </w:r>
      <w:r w:rsidRPr="004E119C">
        <w:rPr>
          <w:b/>
          <w:bCs/>
          <w:sz w:val="22"/>
          <w:szCs w:val="22"/>
        </w:rPr>
        <w:t xml:space="preserve">Pour plus d’efficacité, les Régions </w:t>
      </w:r>
      <w:r>
        <w:rPr>
          <w:b/>
          <w:bCs/>
          <w:sz w:val="22"/>
          <w:szCs w:val="22"/>
        </w:rPr>
        <w:t>pourraient piloter</w:t>
      </w:r>
      <w:r w:rsidRPr="004E119C">
        <w:rPr>
          <w:b/>
          <w:bCs/>
          <w:sz w:val="22"/>
          <w:szCs w:val="22"/>
        </w:rPr>
        <w:t xml:space="preserve"> les politiques de soutien à la création et à la diffusion artistique en région (en relation étroite avec l’Etat s’agissant des labels nationaux), l’éducation artistique et culturelle, ainsi que le soutien aux industries culturelles et créatives</w:t>
      </w:r>
      <w:r>
        <w:rPr>
          <w:b/>
          <w:bCs/>
          <w:sz w:val="22"/>
          <w:szCs w:val="22"/>
        </w:rPr>
        <w:t xml:space="preserve">. Elles </w:t>
      </w:r>
      <w:r w:rsidRPr="004E119C">
        <w:rPr>
          <w:b/>
          <w:bCs/>
          <w:sz w:val="22"/>
          <w:szCs w:val="22"/>
        </w:rPr>
        <w:t>devr</w:t>
      </w:r>
      <w:r>
        <w:rPr>
          <w:b/>
          <w:bCs/>
          <w:sz w:val="22"/>
          <w:szCs w:val="22"/>
        </w:rPr>
        <w:t>aie</w:t>
      </w:r>
      <w:r w:rsidRPr="004E119C">
        <w:rPr>
          <w:b/>
          <w:bCs/>
          <w:sz w:val="22"/>
          <w:szCs w:val="22"/>
        </w:rPr>
        <w:t>nt bénéficier des moyens humains et financiers de l’Etat jusque-là alloués aux DRAC ou aux opérateurs (CNL,CNC…)</w:t>
      </w:r>
      <w:r w:rsidRPr="004E119C">
        <w:rPr>
          <w:sz w:val="22"/>
          <w:szCs w:val="22"/>
        </w:rPr>
        <w:t xml:space="preserve">. </w:t>
      </w:r>
    </w:p>
    <w:p w:rsidR="00BD537B" w:rsidRPr="004E119C" w:rsidRDefault="00BD537B" w:rsidP="0009772F">
      <w:pPr>
        <w:spacing w:line="360" w:lineRule="auto"/>
        <w:jc w:val="both"/>
        <w:rPr>
          <w:sz w:val="22"/>
          <w:szCs w:val="22"/>
        </w:rPr>
      </w:pPr>
    </w:p>
    <w:p w:rsidR="00BD537B" w:rsidRPr="004E119C" w:rsidRDefault="00BD537B" w:rsidP="00A22E36">
      <w:pPr>
        <w:spacing w:line="360" w:lineRule="auto"/>
        <w:jc w:val="both"/>
        <w:rPr>
          <w:sz w:val="22"/>
          <w:szCs w:val="22"/>
        </w:rPr>
      </w:pPr>
      <w:r w:rsidRPr="004E119C">
        <w:rPr>
          <w:sz w:val="22"/>
          <w:szCs w:val="22"/>
        </w:rPr>
        <w:t>Certaines des compétences doivent faire l’objet d’un transfert pur et simple, afin de marquer une nouvelle étape de décentralisation, nécessaire compte tenu du contexte. D’autres compétences plus sensibles, comme le soutien à la création, pourraient être « déléguées » aux Régions, et assorties d’une convention de partenariat renforcée avec l’Etat pour éviter toute intrusion du politique dans la gouvernance des structures et toute intervention dans les choix artistiques. Les Régions devront se saisir de l’opportunité de la  loi MAPAM qui  permet les délégations de compétences.</w:t>
      </w:r>
    </w:p>
    <w:p w:rsidR="00BD537B" w:rsidRPr="004E119C" w:rsidRDefault="00BD537B" w:rsidP="0002419F">
      <w:pPr>
        <w:spacing w:line="360" w:lineRule="auto"/>
        <w:jc w:val="both"/>
        <w:rPr>
          <w:rFonts w:cs="Times New Roman"/>
          <w:sz w:val="22"/>
          <w:szCs w:val="22"/>
        </w:rPr>
      </w:pPr>
    </w:p>
    <w:p w:rsidR="00BD537B" w:rsidRPr="004E119C" w:rsidRDefault="00BD537B" w:rsidP="00DE0D6A">
      <w:pPr>
        <w:spacing w:line="360" w:lineRule="auto"/>
        <w:jc w:val="both"/>
        <w:rPr>
          <w:sz w:val="22"/>
          <w:szCs w:val="22"/>
        </w:rPr>
      </w:pPr>
      <w:r w:rsidRPr="004E119C">
        <w:rPr>
          <w:sz w:val="22"/>
          <w:szCs w:val="22"/>
        </w:rPr>
        <w:t>C’est dans cette coopération singulière aux politiques culturelles, mais désormais mieux répartie, que nous poursuivrons la décentralisation culturelle qui fait notre fierté.</w:t>
      </w:r>
    </w:p>
    <w:p w:rsidR="00BD537B" w:rsidRPr="004E119C" w:rsidRDefault="00BD537B" w:rsidP="00DE0D6A">
      <w:pPr>
        <w:spacing w:line="360" w:lineRule="auto"/>
        <w:jc w:val="both"/>
        <w:rPr>
          <w:sz w:val="22"/>
          <w:szCs w:val="22"/>
        </w:rPr>
      </w:pPr>
      <w:r w:rsidRPr="004E119C">
        <w:rPr>
          <w:sz w:val="22"/>
          <w:szCs w:val="22"/>
        </w:rPr>
        <w:t>Les collectivités soumises à des efforts budgétaires  ne seront ainsi pas tentées de renoncer à ce qui a toujours été considéré, au delà du soutien au monde artistique, à l'accompagnement  de la cohésion sociale et de l'émancipation de nos concitoyens</w:t>
      </w:r>
    </w:p>
    <w:p w:rsidR="00BD537B" w:rsidRPr="004E119C" w:rsidRDefault="00BD537B" w:rsidP="00DE0D6A">
      <w:pPr>
        <w:spacing w:line="360" w:lineRule="auto"/>
        <w:jc w:val="both"/>
        <w:rPr>
          <w:rFonts w:cs="Times New Roman"/>
          <w:b/>
          <w:bCs/>
          <w:sz w:val="22"/>
          <w:szCs w:val="22"/>
        </w:rPr>
      </w:pPr>
    </w:p>
    <w:p w:rsidR="00BD537B" w:rsidRPr="004E119C" w:rsidRDefault="00BD537B" w:rsidP="00DE0D6A">
      <w:pPr>
        <w:spacing w:line="360" w:lineRule="auto"/>
        <w:jc w:val="both"/>
        <w:rPr>
          <w:b/>
          <w:bCs/>
          <w:sz w:val="22"/>
          <w:szCs w:val="22"/>
        </w:rPr>
      </w:pPr>
      <w:r>
        <w:rPr>
          <w:b/>
          <w:bCs/>
          <w:sz w:val="22"/>
          <w:szCs w:val="22"/>
        </w:rPr>
        <w:t xml:space="preserve">4. </w:t>
      </w:r>
      <w:r w:rsidRPr="004E119C">
        <w:rPr>
          <w:b/>
          <w:bCs/>
          <w:sz w:val="22"/>
          <w:szCs w:val="22"/>
        </w:rPr>
        <w:t>Le budget de la Culture</w:t>
      </w:r>
    </w:p>
    <w:p w:rsidR="00BD537B" w:rsidRPr="004E119C" w:rsidRDefault="00BD537B" w:rsidP="00DE0D6A">
      <w:pPr>
        <w:spacing w:line="360" w:lineRule="auto"/>
        <w:jc w:val="both"/>
        <w:rPr>
          <w:rFonts w:cs="Times New Roman"/>
          <w:b/>
          <w:bCs/>
          <w:sz w:val="22"/>
          <w:szCs w:val="22"/>
        </w:rPr>
      </w:pPr>
    </w:p>
    <w:p w:rsidR="00BD537B" w:rsidRPr="004E119C" w:rsidRDefault="00BD537B" w:rsidP="00DE0D6A">
      <w:pPr>
        <w:spacing w:line="360" w:lineRule="auto"/>
        <w:jc w:val="both"/>
        <w:rPr>
          <w:sz w:val="22"/>
          <w:szCs w:val="22"/>
        </w:rPr>
      </w:pPr>
      <w:r w:rsidRPr="004E119C">
        <w:rPr>
          <w:sz w:val="22"/>
          <w:szCs w:val="22"/>
        </w:rPr>
        <w:t>Les Régions demandent à ce que l'Etat sanctuarise  la totalité du budget de la Culture et pas uniquement le programme 131</w:t>
      </w:r>
      <w:r w:rsidRPr="004E119C">
        <w:rPr>
          <w:rStyle w:val="Appelnotedebasdep"/>
          <w:rFonts w:cs="Times New Roman"/>
          <w:sz w:val="22"/>
          <w:szCs w:val="22"/>
        </w:rPr>
        <w:footnoteReference w:id="1"/>
      </w:r>
      <w:r w:rsidRPr="004E119C">
        <w:rPr>
          <w:sz w:val="22"/>
          <w:szCs w:val="22"/>
        </w:rPr>
        <w:t xml:space="preserve"> en soutien à la création artistique. Ce budget, représentant moins de 1% du budget national, est un incontestable vecteur de développement </w:t>
      </w:r>
      <w:r>
        <w:rPr>
          <w:sz w:val="22"/>
          <w:szCs w:val="22"/>
        </w:rPr>
        <w:t xml:space="preserve">durable </w:t>
      </w:r>
      <w:r w:rsidRPr="004E119C">
        <w:rPr>
          <w:sz w:val="22"/>
          <w:szCs w:val="22"/>
        </w:rPr>
        <w:t>dans de nombreux territoires. Il a été  mis en évidence la corrélation positive entre les initiatives culturelles et le développement local</w:t>
      </w:r>
      <w:r w:rsidRPr="004E119C">
        <w:rPr>
          <w:rStyle w:val="Appelnotedebasdep"/>
          <w:rFonts w:cs="Times New Roman"/>
          <w:sz w:val="22"/>
          <w:szCs w:val="22"/>
        </w:rPr>
        <w:footnoteReference w:id="2"/>
      </w:r>
      <w:r w:rsidRPr="004E119C">
        <w:rPr>
          <w:sz w:val="22"/>
          <w:szCs w:val="22"/>
        </w:rPr>
        <w:t xml:space="preserve"> . Outre l’argument économique,  il faut rappeler la portée démocratique de la culture. Les actions de médiation ou d'éducation artistique,  notamment celles financées par le programme 224, participent à l'émancipation, stimulent  la curiosité de nos concitoyens et précisément de ceux qui se sentent oubliés et  seraient tentés de tourner le dos à la démocratie.</w:t>
      </w:r>
    </w:p>
    <w:p w:rsidR="00BD537B" w:rsidRPr="004E119C" w:rsidRDefault="00BD537B" w:rsidP="00DE0D6A">
      <w:pPr>
        <w:spacing w:line="360" w:lineRule="auto"/>
        <w:jc w:val="both"/>
        <w:rPr>
          <w:rFonts w:cs="Times New Roman"/>
          <w:sz w:val="22"/>
          <w:szCs w:val="22"/>
        </w:rPr>
      </w:pPr>
    </w:p>
    <w:p w:rsidR="00BD537B" w:rsidRPr="004E119C" w:rsidRDefault="00BD537B" w:rsidP="0002419F">
      <w:pPr>
        <w:spacing w:line="360" w:lineRule="auto"/>
        <w:jc w:val="both"/>
        <w:rPr>
          <w:rFonts w:cs="Times New Roman"/>
          <w:sz w:val="22"/>
          <w:szCs w:val="22"/>
        </w:rPr>
      </w:pPr>
    </w:p>
    <w:sectPr w:rsidR="00BD537B" w:rsidRPr="004E119C" w:rsidSect="002D2D59">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37B" w:rsidRDefault="00BD537B" w:rsidP="003B49EE">
      <w:pPr>
        <w:rPr>
          <w:rFonts w:cs="Times New Roman"/>
        </w:rPr>
      </w:pPr>
      <w:r>
        <w:rPr>
          <w:rFonts w:cs="Times New Roman"/>
        </w:rPr>
        <w:separator/>
      </w:r>
    </w:p>
  </w:endnote>
  <w:endnote w:type="continuationSeparator" w:id="0">
    <w:p w:rsidR="00BD537B" w:rsidRDefault="00BD537B" w:rsidP="003B49E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Lucida Grande">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7B" w:rsidRDefault="00BD537B" w:rsidP="002F6404">
    <w:pPr>
      <w:pStyle w:val="Pieddepage"/>
      <w:framePr w:wrap="around" w:vAnchor="text" w:hAnchor="margin" w:xAlign="right" w:y="1"/>
      <w:rPr>
        <w:rStyle w:val="Numrodepage"/>
        <w:rFonts w:cs="Times New Roman"/>
      </w:rPr>
    </w:pPr>
    <w:r>
      <w:rPr>
        <w:rStyle w:val="Numrodepage"/>
      </w:rPr>
      <w:fldChar w:fldCharType="begin"/>
    </w:r>
    <w:r>
      <w:rPr>
        <w:rStyle w:val="Numrodepage"/>
      </w:rPr>
      <w:instrText xml:space="preserve">PAGE  </w:instrText>
    </w:r>
    <w:r>
      <w:rPr>
        <w:rStyle w:val="Numrodepage"/>
      </w:rPr>
      <w:fldChar w:fldCharType="end"/>
    </w:r>
  </w:p>
  <w:p w:rsidR="00BD537B" w:rsidRDefault="00BD537B" w:rsidP="003B49EE">
    <w:pPr>
      <w:pStyle w:val="Pieddepage"/>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37B" w:rsidRDefault="00BD537B" w:rsidP="002F6404">
    <w:pPr>
      <w:pStyle w:val="Pieddepage"/>
      <w:framePr w:wrap="around" w:vAnchor="text" w:hAnchor="margin" w:xAlign="right" w:y="1"/>
      <w:rPr>
        <w:rStyle w:val="Numrodepage"/>
        <w:rFonts w:cs="Times New Roman"/>
      </w:rPr>
    </w:pPr>
    <w:r>
      <w:rPr>
        <w:rStyle w:val="Numrodepage"/>
      </w:rPr>
      <w:fldChar w:fldCharType="begin"/>
    </w:r>
    <w:r>
      <w:rPr>
        <w:rStyle w:val="Numrodepage"/>
      </w:rPr>
      <w:instrText xml:space="preserve">PAGE  </w:instrText>
    </w:r>
    <w:r>
      <w:rPr>
        <w:rStyle w:val="Numrodepage"/>
      </w:rPr>
      <w:fldChar w:fldCharType="separate"/>
    </w:r>
    <w:r w:rsidR="00210AF6">
      <w:rPr>
        <w:rStyle w:val="Numrodepage"/>
        <w:noProof/>
      </w:rPr>
      <w:t>1</w:t>
    </w:r>
    <w:r>
      <w:rPr>
        <w:rStyle w:val="Numrodepage"/>
      </w:rPr>
      <w:fldChar w:fldCharType="end"/>
    </w:r>
  </w:p>
  <w:p w:rsidR="00BD537B" w:rsidRDefault="00BD537B" w:rsidP="003B49EE">
    <w:pPr>
      <w:pStyle w:val="Pieddepage"/>
      <w:ind w:right="360"/>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37B" w:rsidRDefault="00BD537B" w:rsidP="003B49EE">
      <w:pPr>
        <w:rPr>
          <w:rFonts w:cs="Times New Roman"/>
        </w:rPr>
      </w:pPr>
      <w:r>
        <w:rPr>
          <w:rFonts w:cs="Times New Roman"/>
        </w:rPr>
        <w:separator/>
      </w:r>
    </w:p>
  </w:footnote>
  <w:footnote w:type="continuationSeparator" w:id="0">
    <w:p w:rsidR="00BD537B" w:rsidRDefault="00BD537B" w:rsidP="003B49EE">
      <w:pPr>
        <w:rPr>
          <w:rFonts w:cs="Times New Roman"/>
        </w:rPr>
      </w:pPr>
      <w:r>
        <w:rPr>
          <w:rFonts w:cs="Times New Roman"/>
        </w:rPr>
        <w:continuationSeparator/>
      </w:r>
    </w:p>
  </w:footnote>
  <w:footnote w:id="1">
    <w:p w:rsidR="00BD537B" w:rsidRDefault="00BD537B">
      <w:pPr>
        <w:pStyle w:val="Notedebasdepage"/>
        <w:rPr>
          <w:rFonts w:cs="Times New Roman"/>
        </w:rPr>
      </w:pPr>
      <w:r>
        <w:rPr>
          <w:rStyle w:val="Appelnotedebasdep"/>
          <w:rFonts w:cs="Times New Roman"/>
        </w:rPr>
        <w:footnoteRef/>
      </w:r>
      <w:r>
        <w:t xml:space="preserve"> </w:t>
      </w:r>
      <w:r w:rsidRPr="004A0B99">
        <w:rPr>
          <w:sz w:val="20"/>
          <w:szCs w:val="20"/>
        </w:rPr>
        <w:t>La Mission culture (un des chapitres du budget du MCC)</w:t>
      </w:r>
      <w:r>
        <w:rPr>
          <w:sz w:val="20"/>
          <w:szCs w:val="20"/>
        </w:rPr>
        <w:t xml:space="preserve"> </w:t>
      </w:r>
      <w:r w:rsidRPr="004A0B99">
        <w:rPr>
          <w:sz w:val="20"/>
          <w:szCs w:val="20"/>
        </w:rPr>
        <w:t>re</w:t>
      </w:r>
      <w:r>
        <w:rPr>
          <w:sz w:val="20"/>
          <w:szCs w:val="20"/>
        </w:rPr>
        <w:t>groupe 3 programmes : 175 Patrimoine, 131 Création et 224 Transmission des savoirs et démocratisation de la culture</w:t>
      </w:r>
    </w:p>
  </w:footnote>
  <w:footnote w:id="2">
    <w:p w:rsidR="00BD537B" w:rsidRDefault="00BD537B">
      <w:pPr>
        <w:pStyle w:val="Notedebasdepage"/>
        <w:rPr>
          <w:rFonts w:cs="Times New Roman"/>
        </w:rPr>
      </w:pPr>
      <w:r>
        <w:rPr>
          <w:rStyle w:val="Appelnotedebasdep"/>
          <w:rFonts w:cs="Times New Roman"/>
        </w:rPr>
        <w:footnoteRef/>
      </w:r>
      <w:r>
        <w:t xml:space="preserve"> </w:t>
      </w:r>
      <w:r w:rsidRPr="004A0B99">
        <w:rPr>
          <w:sz w:val="20"/>
          <w:szCs w:val="20"/>
        </w:rPr>
        <w:t xml:space="preserve">IGF, IGAC, </w:t>
      </w:r>
      <w:r w:rsidRPr="004A0B99">
        <w:rPr>
          <w:i/>
          <w:iCs/>
          <w:sz w:val="20"/>
          <w:szCs w:val="20"/>
        </w:rPr>
        <w:t>L’apport de la culture à l’économie en France,</w:t>
      </w:r>
      <w:r w:rsidRPr="004A0B99">
        <w:rPr>
          <w:sz w:val="20"/>
          <w:szCs w:val="20"/>
        </w:rPr>
        <w:t xml:space="preserve"> décembre 2013</w:t>
      </w:r>
      <w:r>
        <w:rPr>
          <w:i/>
          <w:iC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embedSystemFonts/>
  <w:defaultTabStop w:val="708"/>
  <w:hyphenationZone w:val="425"/>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7B"/>
    <w:rsid w:val="0002419F"/>
    <w:rsid w:val="00047567"/>
    <w:rsid w:val="0009772F"/>
    <w:rsid w:val="0015661E"/>
    <w:rsid w:val="001B52C7"/>
    <w:rsid w:val="001D77A5"/>
    <w:rsid w:val="00210AF6"/>
    <w:rsid w:val="00273E7F"/>
    <w:rsid w:val="002A390B"/>
    <w:rsid w:val="002A391C"/>
    <w:rsid w:val="002D2D59"/>
    <w:rsid w:val="002F6404"/>
    <w:rsid w:val="00326827"/>
    <w:rsid w:val="00333F47"/>
    <w:rsid w:val="00361161"/>
    <w:rsid w:val="00362E73"/>
    <w:rsid w:val="003858FD"/>
    <w:rsid w:val="003B49EE"/>
    <w:rsid w:val="00426013"/>
    <w:rsid w:val="004A0B99"/>
    <w:rsid w:val="004D5E1F"/>
    <w:rsid w:val="004E119C"/>
    <w:rsid w:val="00500A7B"/>
    <w:rsid w:val="00514599"/>
    <w:rsid w:val="005937C8"/>
    <w:rsid w:val="005A7E3F"/>
    <w:rsid w:val="005B54C3"/>
    <w:rsid w:val="006A3CDC"/>
    <w:rsid w:val="0072606B"/>
    <w:rsid w:val="00731AFD"/>
    <w:rsid w:val="007E4EC0"/>
    <w:rsid w:val="00813B5E"/>
    <w:rsid w:val="00840CB8"/>
    <w:rsid w:val="009A24A3"/>
    <w:rsid w:val="00A22E36"/>
    <w:rsid w:val="00AA6895"/>
    <w:rsid w:val="00B3427B"/>
    <w:rsid w:val="00BD537B"/>
    <w:rsid w:val="00BF6251"/>
    <w:rsid w:val="00C3009B"/>
    <w:rsid w:val="00CA0101"/>
    <w:rsid w:val="00CE0E06"/>
    <w:rsid w:val="00D22DFB"/>
    <w:rsid w:val="00D23E2F"/>
    <w:rsid w:val="00D724A1"/>
    <w:rsid w:val="00DB16AE"/>
    <w:rsid w:val="00DE0D6A"/>
    <w:rsid w:val="00E733B1"/>
    <w:rsid w:val="00E81428"/>
    <w:rsid w:val="00ED7414"/>
    <w:rsid w:val="00EE0417"/>
    <w:rsid w:val="00F527C8"/>
    <w:rsid w:val="00F86C26"/>
    <w:rsid w:val="00F9140F"/>
    <w:rsid w:val="00FD123D"/>
    <w:rsid w:val="00FF1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13"/>
    <w:rPr>
      <w:rFonts w:cs="Cambria"/>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B49EE"/>
    <w:pPr>
      <w:tabs>
        <w:tab w:val="center" w:pos="4536"/>
        <w:tab w:val="right" w:pos="9072"/>
      </w:tabs>
    </w:pPr>
  </w:style>
  <w:style w:type="character" w:customStyle="1" w:styleId="PieddepageCar">
    <w:name w:val="Pied de page Car"/>
    <w:basedOn w:val="Policepardfaut"/>
    <w:link w:val="Pieddepage"/>
    <w:uiPriority w:val="99"/>
    <w:rsid w:val="003B49EE"/>
    <w:rPr>
      <w:lang w:eastAsia="ja-JP"/>
    </w:rPr>
  </w:style>
  <w:style w:type="character" w:styleId="Numrodepage">
    <w:name w:val="page number"/>
    <w:basedOn w:val="Policepardfaut"/>
    <w:uiPriority w:val="99"/>
    <w:semiHidden/>
    <w:rsid w:val="003B49EE"/>
  </w:style>
  <w:style w:type="paragraph" w:customStyle="1" w:styleId="CharCarChar1CarCarCarCarCarCar1">
    <w:name w:val="Char Car Char1 Car Car Car Car Car Car1"/>
    <w:basedOn w:val="Normal"/>
    <w:autoRedefine/>
    <w:uiPriority w:val="99"/>
    <w:rsid w:val="005A7E3F"/>
    <w:pPr>
      <w:spacing w:line="20" w:lineRule="exact"/>
    </w:pPr>
    <w:rPr>
      <w:rFonts w:ascii="Bookman Old Style" w:hAnsi="Bookman Old Style" w:cs="Bookman Old Style"/>
      <w:lang w:val="en-US" w:eastAsia="en-US"/>
    </w:rPr>
  </w:style>
  <w:style w:type="paragraph" w:styleId="Notedebasdepage">
    <w:name w:val="footnote text"/>
    <w:basedOn w:val="Normal"/>
    <w:link w:val="NotedebasdepageCar"/>
    <w:uiPriority w:val="99"/>
    <w:semiHidden/>
    <w:rsid w:val="00DE0D6A"/>
  </w:style>
  <w:style w:type="character" w:customStyle="1" w:styleId="NotedebasdepageCar">
    <w:name w:val="Note de bas de page Car"/>
    <w:basedOn w:val="Policepardfaut"/>
    <w:link w:val="Notedebasdepage"/>
    <w:uiPriority w:val="99"/>
    <w:rsid w:val="00DE0D6A"/>
    <w:rPr>
      <w:lang w:eastAsia="ja-JP"/>
    </w:rPr>
  </w:style>
  <w:style w:type="character" w:styleId="Appelnotedebasdep">
    <w:name w:val="footnote reference"/>
    <w:basedOn w:val="Policepardfaut"/>
    <w:uiPriority w:val="99"/>
    <w:semiHidden/>
    <w:rsid w:val="00DE0D6A"/>
    <w:rPr>
      <w:vertAlign w:val="superscript"/>
    </w:rPr>
  </w:style>
  <w:style w:type="paragraph" w:styleId="Textedebulles">
    <w:name w:val="Balloon Text"/>
    <w:basedOn w:val="Normal"/>
    <w:link w:val="TextedebullesCar"/>
    <w:uiPriority w:val="99"/>
    <w:semiHidden/>
    <w:rsid w:val="00F9140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9140F"/>
    <w:rPr>
      <w:rFonts w:ascii="Lucida Grande" w:hAnsi="Lucida Grande" w:cs="Lucida Grande"/>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13"/>
    <w:rPr>
      <w:rFonts w:cs="Cambria"/>
      <w:sz w:val="24"/>
      <w:szCs w:val="24"/>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3B49EE"/>
    <w:pPr>
      <w:tabs>
        <w:tab w:val="center" w:pos="4536"/>
        <w:tab w:val="right" w:pos="9072"/>
      </w:tabs>
    </w:pPr>
  </w:style>
  <w:style w:type="character" w:customStyle="1" w:styleId="PieddepageCar">
    <w:name w:val="Pied de page Car"/>
    <w:basedOn w:val="Policepardfaut"/>
    <w:link w:val="Pieddepage"/>
    <w:uiPriority w:val="99"/>
    <w:rsid w:val="003B49EE"/>
    <w:rPr>
      <w:lang w:eastAsia="ja-JP"/>
    </w:rPr>
  </w:style>
  <w:style w:type="character" w:styleId="Numrodepage">
    <w:name w:val="page number"/>
    <w:basedOn w:val="Policepardfaut"/>
    <w:uiPriority w:val="99"/>
    <w:semiHidden/>
    <w:rsid w:val="003B49EE"/>
  </w:style>
  <w:style w:type="paragraph" w:customStyle="1" w:styleId="CharCarChar1CarCarCarCarCarCar1">
    <w:name w:val="Char Car Char1 Car Car Car Car Car Car1"/>
    <w:basedOn w:val="Normal"/>
    <w:autoRedefine/>
    <w:uiPriority w:val="99"/>
    <w:rsid w:val="005A7E3F"/>
    <w:pPr>
      <w:spacing w:line="20" w:lineRule="exact"/>
    </w:pPr>
    <w:rPr>
      <w:rFonts w:ascii="Bookman Old Style" w:hAnsi="Bookman Old Style" w:cs="Bookman Old Style"/>
      <w:lang w:val="en-US" w:eastAsia="en-US"/>
    </w:rPr>
  </w:style>
  <w:style w:type="paragraph" w:styleId="Notedebasdepage">
    <w:name w:val="footnote text"/>
    <w:basedOn w:val="Normal"/>
    <w:link w:val="NotedebasdepageCar"/>
    <w:uiPriority w:val="99"/>
    <w:semiHidden/>
    <w:rsid w:val="00DE0D6A"/>
  </w:style>
  <w:style w:type="character" w:customStyle="1" w:styleId="NotedebasdepageCar">
    <w:name w:val="Note de bas de page Car"/>
    <w:basedOn w:val="Policepardfaut"/>
    <w:link w:val="Notedebasdepage"/>
    <w:uiPriority w:val="99"/>
    <w:rsid w:val="00DE0D6A"/>
    <w:rPr>
      <w:lang w:eastAsia="ja-JP"/>
    </w:rPr>
  </w:style>
  <w:style w:type="character" w:styleId="Appelnotedebasdep">
    <w:name w:val="footnote reference"/>
    <w:basedOn w:val="Policepardfaut"/>
    <w:uiPriority w:val="99"/>
    <w:semiHidden/>
    <w:rsid w:val="00DE0D6A"/>
    <w:rPr>
      <w:vertAlign w:val="superscript"/>
    </w:rPr>
  </w:style>
  <w:style w:type="paragraph" w:styleId="Textedebulles">
    <w:name w:val="Balloon Text"/>
    <w:basedOn w:val="Normal"/>
    <w:link w:val="TextedebullesCar"/>
    <w:uiPriority w:val="99"/>
    <w:semiHidden/>
    <w:rsid w:val="00F9140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9140F"/>
    <w:rPr>
      <w:rFonts w:ascii="Lucida Grande" w:hAnsi="Lucida Grande" w:cs="Lucida Grande"/>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7398</Characters>
  <Application>Microsoft Office Word</Application>
  <DocSecurity>4</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Bernard</dc:creator>
  <cp:keywords/>
  <dc:description/>
  <cp:lastModifiedBy>GIRARD, Helene (GRM-UZS)</cp:lastModifiedBy>
  <cp:revision>2</cp:revision>
  <cp:lastPrinted>2014-06-30T12:40:00Z</cp:lastPrinted>
  <dcterms:created xsi:type="dcterms:W3CDTF">2014-07-23T09:05:00Z</dcterms:created>
  <dcterms:modified xsi:type="dcterms:W3CDTF">2014-07-23T09:05:00Z</dcterms:modified>
</cp:coreProperties>
</file>